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2B0574">
        <w:rPr>
          <w:sz w:val="24"/>
          <w:szCs w:val="24"/>
        </w:rPr>
        <w:t xml:space="preserve">Skipton </w:t>
      </w:r>
    </w:p>
    <w:p w:rsidR="00C1109B" w:rsidRDefault="00CD432F" w:rsidP="00CD432F">
      <w:pPr>
        <w:rPr>
          <w:sz w:val="24"/>
          <w:szCs w:val="24"/>
        </w:rPr>
      </w:pPr>
      <w:r>
        <w:rPr>
          <w:b/>
          <w:sz w:val="24"/>
          <w:szCs w:val="24"/>
        </w:rPr>
        <w:t>Site Number and Address:</w:t>
      </w:r>
      <w:r w:rsidR="002B0574">
        <w:rPr>
          <w:b/>
          <w:sz w:val="24"/>
          <w:szCs w:val="24"/>
        </w:rPr>
        <w:t xml:space="preserve"> </w:t>
      </w:r>
      <w:r>
        <w:rPr>
          <w:b/>
          <w:sz w:val="24"/>
          <w:szCs w:val="24"/>
        </w:rPr>
        <w:t xml:space="preserve"> </w:t>
      </w:r>
      <w:r w:rsidR="009C3C9E" w:rsidRPr="009C3C9E">
        <w:rPr>
          <w:sz w:val="24"/>
          <w:szCs w:val="24"/>
        </w:rPr>
        <w:t>SK114;</w:t>
      </w:r>
      <w:r w:rsidR="009C3C9E">
        <w:rPr>
          <w:b/>
          <w:sz w:val="24"/>
          <w:szCs w:val="24"/>
        </w:rPr>
        <w:t xml:space="preserve"> </w:t>
      </w:r>
      <w:proofErr w:type="spellStart"/>
      <w:r w:rsidR="002B0574" w:rsidRPr="002B0574">
        <w:rPr>
          <w:sz w:val="24"/>
          <w:szCs w:val="24"/>
        </w:rPr>
        <w:t>Cawder</w:t>
      </w:r>
      <w:proofErr w:type="spellEnd"/>
      <w:r w:rsidR="002B0574" w:rsidRPr="002B0574">
        <w:rPr>
          <w:sz w:val="24"/>
          <w:szCs w:val="24"/>
        </w:rPr>
        <w:t xml:space="preserve"> Gill/Horse Close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306A7A" w:rsidRDefault="00687642" w:rsidP="00306A7A">
      <w:pPr>
        <w:rPr>
          <w:b/>
          <w:i/>
        </w:rPr>
      </w:pPr>
      <w:r w:rsidRPr="00687642">
        <w:rPr>
          <w:noProof/>
          <w:lang w:eastAsia="en-GB"/>
        </w:rPr>
        <w:drawing>
          <wp:inline distT="0" distB="0" distL="0" distR="0" wp14:anchorId="390F231B" wp14:editId="14C2977B">
            <wp:extent cx="8863330" cy="2447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2447755"/>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2B0574">
        <w:t>eferred Sites list for Skipton</w:t>
      </w:r>
      <w:r>
        <w:t>, subject to Stage 2 analysis below, and also a possible comparison of the site’s merits with oth</w:t>
      </w:r>
      <w:r w:rsidR="002B0574">
        <w:t>er sustainable sites in Skipton</w:t>
      </w:r>
      <w:r>
        <w:t xml:space="preserve"> if a surplus of sites exists. </w:t>
      </w: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2B0574"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2B057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2B0574" w:rsidP="00B21C52">
            <w:pPr>
              <w:jc w:val="center"/>
              <w:rPr>
                <w:b/>
              </w:rPr>
            </w:pPr>
            <w:r>
              <w:rPr>
                <w:b/>
              </w:rPr>
              <w:t>South 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2B057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2B0574" w:rsidP="00B21C52">
            <w:pPr>
              <w:jc w:val="center"/>
              <w:rPr>
                <w:b/>
              </w:rPr>
            </w:pPr>
            <w:r>
              <w:rPr>
                <w:b/>
              </w:rPr>
              <w:t>South 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2B057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2B0574">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2B0574">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6363B5" w:rsidRDefault="006363B5" w:rsidP="00834C80">
      <w:pPr>
        <w:jc w:val="both"/>
      </w:pPr>
      <w:r>
        <w:t xml:space="preserve">Sites SK124 &amp; SK114 </w:t>
      </w:r>
      <w:r w:rsidR="003A180F">
        <w:t xml:space="preserve">(Land to east of North Parade &amp; </w:t>
      </w:r>
      <w:proofErr w:type="spellStart"/>
      <w:r w:rsidR="003A180F">
        <w:t>Cawder</w:t>
      </w:r>
      <w:proofErr w:type="spellEnd"/>
      <w:r w:rsidR="003A180F">
        <w:t xml:space="preserve"> Road garage site, Horse Close, Skipton) </w:t>
      </w:r>
      <w:r>
        <w:t xml:space="preserve">are being considered together as a potential housing allocation.  Site SK124 is located within the west of this group of sites. </w:t>
      </w:r>
      <w:r w:rsidR="00834682">
        <w:t xml:space="preserve">Site SK114 is a </w:t>
      </w:r>
      <w:proofErr w:type="gramStart"/>
      <w:r w:rsidR="00834682">
        <w:t>greenfield</w:t>
      </w:r>
      <w:proofErr w:type="gramEnd"/>
      <w:r w:rsidR="00834682">
        <w:t xml:space="preserve"> site situated in the edge of an existing residential area to the south east of Skipton.  Site SK124 is a brownfield site situated in the edge of an existing residential area to the south east of Skipton.  </w:t>
      </w:r>
      <w:r>
        <w:t>The site analysis set out below relates to both these sites:</w:t>
      </w:r>
    </w:p>
    <w:p w:rsidR="00834682" w:rsidRDefault="00834682" w:rsidP="00834C80">
      <w:pPr>
        <w:jc w:val="both"/>
        <w:rPr>
          <w:u w:val="single"/>
        </w:rPr>
      </w:pPr>
      <w:r w:rsidRPr="00CE1E8D">
        <w:rPr>
          <w:rFonts w:eastAsia="Calibri"/>
        </w:rPr>
        <w:t xml:space="preserve">Access to the site is to be gained from </w:t>
      </w:r>
      <w:r w:rsidRPr="00CE1E8D">
        <w:rPr>
          <w:rFonts w:eastAsia="Calibri"/>
          <w:strike/>
        </w:rPr>
        <w:t>the</w:t>
      </w:r>
      <w:r w:rsidRPr="00CE1E8D">
        <w:rPr>
          <w:rFonts w:eastAsia="Calibri"/>
        </w:rPr>
        <w:t xml:space="preserve"> </w:t>
      </w:r>
      <w:proofErr w:type="spellStart"/>
      <w:r w:rsidRPr="00CE1E8D">
        <w:rPr>
          <w:rFonts w:eastAsia="Calibri"/>
        </w:rPr>
        <w:t>Cawder</w:t>
      </w:r>
      <w:proofErr w:type="spellEnd"/>
      <w:r w:rsidRPr="00CE1E8D">
        <w:rPr>
          <w:rFonts w:eastAsia="Calibri"/>
        </w:rPr>
        <w:t xml:space="preserve"> Road</w:t>
      </w:r>
      <w:r w:rsidRPr="00834682">
        <w:rPr>
          <w:rFonts w:eastAsia="Calibri"/>
        </w:rPr>
        <w:t>, such as the</w:t>
      </w:r>
      <w:r w:rsidRPr="00CE1E8D">
        <w:rPr>
          <w:rFonts w:eastAsia="Calibri"/>
        </w:rPr>
        <w:t xml:space="preserve"> garage site</w:t>
      </w:r>
      <w:r>
        <w:rPr>
          <w:rFonts w:eastAsia="Calibri"/>
        </w:rPr>
        <w:t xml:space="preserve"> (CDC owned garage site SK124)</w:t>
      </w:r>
      <w:r w:rsidRPr="00CE1E8D">
        <w:rPr>
          <w:rFonts w:eastAsia="Calibri"/>
        </w:rPr>
        <w:t xml:space="preserve"> located in the south west of the site.  </w:t>
      </w:r>
      <w:r w:rsidRPr="00834682">
        <w:rPr>
          <w:rFonts w:eastAsia="Calibri"/>
        </w:rPr>
        <w:t xml:space="preserve">A possible additional access point is </w:t>
      </w:r>
      <w:r w:rsidRPr="00CE1E8D">
        <w:rPr>
          <w:rFonts w:eastAsia="Calibri"/>
        </w:rPr>
        <w:t xml:space="preserve">via </w:t>
      </w:r>
      <w:r w:rsidRPr="00834682">
        <w:rPr>
          <w:rFonts w:eastAsia="Calibri"/>
        </w:rPr>
        <w:t xml:space="preserve">the </w:t>
      </w:r>
      <w:r w:rsidRPr="00CE1E8D">
        <w:rPr>
          <w:rFonts w:eastAsia="Calibri"/>
        </w:rPr>
        <w:t>existing reservoir track from Whinny Gill Road, which provides access to a residential scheme with consent to the north of the site</w:t>
      </w:r>
      <w:r>
        <w:rPr>
          <w:rFonts w:eastAsia="Calibri"/>
        </w:rPr>
        <w:t xml:space="preserve"> (</w:t>
      </w:r>
      <w:r w:rsidRPr="002B0574">
        <w:t>63/2015/15503</w:t>
      </w:r>
      <w:r>
        <w:rPr>
          <w:rFonts w:eastAsia="Calibri"/>
        </w:rPr>
        <w:t>)</w:t>
      </w:r>
      <w:r w:rsidRPr="00CE1E8D">
        <w:rPr>
          <w:rFonts w:eastAsia="Calibri"/>
        </w:rPr>
        <w:t>.</w:t>
      </w:r>
      <w:r w:rsidRPr="00CE1E8D">
        <w:t xml:space="preserve">  Access to Keighley Road from </w:t>
      </w:r>
      <w:proofErr w:type="spellStart"/>
      <w:r w:rsidRPr="00CE1E8D">
        <w:t>Cawder</w:t>
      </w:r>
      <w:proofErr w:type="spellEnd"/>
      <w:r w:rsidRPr="00CE1E8D">
        <w:t xml:space="preserve"> Lane is via the existing Horse Close Bridge, which is currently restricted in terms of width. </w:t>
      </w:r>
      <w:r w:rsidRPr="00834682">
        <w:t>A new road bridge is required to improve vehicular access to residential allocation sites SK061, SK101 and SK114 &amp;SK124.  Grant funding of £2.3 million has been awarded to Craven District Council by Homes England for this infrastructure work.</w:t>
      </w:r>
      <w:r w:rsidRPr="00CE1E8D">
        <w:rPr>
          <w:u w:val="single"/>
        </w:rPr>
        <w:t xml:space="preserve"> </w:t>
      </w:r>
    </w:p>
    <w:p w:rsidR="00834682" w:rsidRPr="00834682" w:rsidRDefault="00834682" w:rsidP="00834C80">
      <w:pPr>
        <w:jc w:val="both"/>
      </w:pPr>
      <w:r w:rsidRPr="00834682">
        <w:t xml:space="preserve">The site is a </w:t>
      </w:r>
      <w:proofErr w:type="gramStart"/>
      <w:r w:rsidRPr="00834682">
        <w:t>greenfield</w:t>
      </w:r>
      <w:proofErr w:type="gramEnd"/>
      <w:r w:rsidRPr="00834682">
        <w:t xml:space="preserve"> site in a prominent location on the edge of Skipton</w:t>
      </w:r>
      <w:r>
        <w:t>, however it is not in the north or north-east of the settlement, closest to the National Park’s boundary</w:t>
      </w:r>
      <w:r w:rsidRPr="00834682">
        <w:t xml:space="preserve">. </w:t>
      </w:r>
      <w:r w:rsidR="007A5E49" w:rsidRPr="007A5E49">
        <w:t xml:space="preserve">Development proposals for this site will incorporate an area of approximately 1.1 ha of green infrastructure to recognise the two existing wooded </w:t>
      </w:r>
      <w:proofErr w:type="spellStart"/>
      <w:r w:rsidR="007A5E49" w:rsidRPr="007A5E49">
        <w:t>ghylls</w:t>
      </w:r>
      <w:proofErr w:type="spellEnd"/>
      <w:r w:rsidR="007A5E49" w:rsidRPr="007A5E49">
        <w:t xml:space="preserve"> on the site in the north and central part of the site and their role in providing links to the existing PROW network</w:t>
      </w:r>
      <w:r w:rsidR="007A5E49">
        <w:t xml:space="preserve"> a</w:t>
      </w:r>
      <w:r w:rsidR="007A5E49" w:rsidRPr="007A5E49">
        <w:t xml:space="preserve">nd to provide a landscape buffer to the north eastern part of the site which </w:t>
      </w:r>
      <w:r w:rsidR="007A5E49" w:rsidRPr="007A5E49">
        <w:rPr>
          <w:rFonts w:eastAsia="Calibri"/>
        </w:rPr>
        <w:t>is steeply sloping and characterised by open moorland. The area of green infrastructure will also deliver rec</w:t>
      </w:r>
      <w:r w:rsidR="007A5E49">
        <w:rPr>
          <w:rFonts w:eastAsia="Calibri"/>
        </w:rPr>
        <w:t xml:space="preserve">reational walking opportunities </w:t>
      </w:r>
      <w:r w:rsidR="007A5E49" w:rsidRPr="007A5E49">
        <w:rPr>
          <w:rFonts w:eastAsia="Calibri"/>
        </w:rPr>
        <w:t xml:space="preserve">aimed at relieving pressure on the </w:t>
      </w:r>
      <w:r w:rsidR="007A5E49" w:rsidRPr="007A5E49">
        <w:t>North Pennine Moors Special Protection Area (SPA) &amp; Special Area of Conservation (SAC).</w:t>
      </w:r>
    </w:p>
    <w:p w:rsidR="007A5E49" w:rsidRDefault="007A5E49" w:rsidP="00834682">
      <w:pPr>
        <w:jc w:val="both"/>
      </w:pPr>
      <w:r w:rsidRPr="007A5E49">
        <w:rPr>
          <w:rFonts w:eastAsia="Calibri"/>
        </w:rPr>
        <w:t>An assessment of the site’s archaeological interest will be required with appropriate mitigation incorporated into development proposals where necessary.</w:t>
      </w:r>
    </w:p>
    <w:p w:rsidR="00834682" w:rsidRDefault="002B0574" w:rsidP="00834682">
      <w:pPr>
        <w:jc w:val="both"/>
      </w:pPr>
      <w:r w:rsidRPr="003928EE">
        <w:lastRenderedPageBreak/>
        <w:t xml:space="preserve">The </w:t>
      </w:r>
      <w:r w:rsidR="00113200" w:rsidRPr="003928EE">
        <w:t>majority</w:t>
      </w:r>
      <w:r w:rsidR="00070691" w:rsidRPr="003928EE">
        <w:t xml:space="preserve"> </w:t>
      </w:r>
      <w:r w:rsidRPr="003928EE">
        <w:t xml:space="preserve">of the </w:t>
      </w:r>
      <w:r w:rsidR="00205A24" w:rsidRPr="003928EE">
        <w:t xml:space="preserve">site </w:t>
      </w:r>
      <w:r w:rsidR="00F2287F" w:rsidRPr="003928EE">
        <w:t xml:space="preserve">submitted to the SHLAA database </w:t>
      </w:r>
      <w:r w:rsidR="000B5F42" w:rsidRPr="003928EE">
        <w:t xml:space="preserve">can be utilised.  </w:t>
      </w:r>
      <w:r w:rsidR="00834682">
        <w:t>An area in the</w:t>
      </w:r>
      <w:r w:rsidR="00834682" w:rsidRPr="00070691">
        <w:rPr>
          <w:color w:val="FF0000"/>
        </w:rPr>
        <w:t xml:space="preserve"> </w:t>
      </w:r>
      <w:r w:rsidR="00834682">
        <w:t xml:space="preserve">east of the original SHLAA site has been excluded given the topography of this part of the site (steeply sloping to the east).  The eastern boundary of the site has been drawn to follow a continuation of built development given consent under application 63/2015/15503 to the north of site.  </w:t>
      </w:r>
    </w:p>
    <w:p w:rsidR="005218B4" w:rsidRDefault="00834682">
      <w:r>
        <w:rPr>
          <w:b/>
          <w:i/>
        </w:rPr>
        <w:t xml:space="preserve">Approximate Site </w:t>
      </w:r>
      <w:r w:rsidR="00C1109B" w:rsidRPr="007C4CD1">
        <w:rPr>
          <w:b/>
          <w:i/>
        </w:rPr>
        <w:t>Area</w:t>
      </w:r>
      <w:r w:rsidR="003928EE">
        <w:rPr>
          <w:b/>
          <w:i/>
        </w:rPr>
        <w:t xml:space="preserve">: </w:t>
      </w:r>
      <w:r w:rsidR="00790C43">
        <w:t xml:space="preserve"> </w:t>
      </w:r>
      <w:r w:rsidR="009C3C9E">
        <w:t>4.6 hectares (including approximately 1.1 hectares of green infrastructure)</w:t>
      </w:r>
    </w:p>
    <w:p w:rsidR="00C1109B" w:rsidRDefault="00834682">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3928EE">
        <w:t xml:space="preserve"> 112 dwellings </w:t>
      </w:r>
    </w:p>
    <w:p w:rsidR="00F2287F" w:rsidRDefault="006363B5">
      <w:pPr>
        <w:rPr>
          <w:b/>
          <w:i/>
        </w:rPr>
      </w:pPr>
      <w:r>
        <w:rPr>
          <w:b/>
          <w:i/>
        </w:rPr>
        <w:t>Development Principles (relating to sites SK124 &amp; SK114 as a single preferred site allocation</w:t>
      </w:r>
      <w:r w:rsidRPr="001812BB">
        <w:rPr>
          <w:b/>
          <w:i/>
        </w:rPr>
        <w:t>):</w:t>
      </w:r>
    </w:p>
    <w:p w:rsidR="009C3C9E" w:rsidRPr="009628AD" w:rsidRDefault="009C3C9E" w:rsidP="009C3C9E">
      <w:pPr>
        <w:pStyle w:val="ListParagraph"/>
        <w:widowControl w:val="0"/>
        <w:numPr>
          <w:ilvl w:val="0"/>
          <w:numId w:val="13"/>
        </w:numPr>
        <w:tabs>
          <w:tab w:val="left" w:pos="538"/>
        </w:tabs>
        <w:spacing w:line="228" w:lineRule="exact"/>
        <w:ind w:left="454" w:right="264" w:hanging="283"/>
        <w:rPr>
          <w:rFonts w:ascii="Arial" w:eastAsia="Arial" w:hAnsi="Arial" w:cs="Arial"/>
          <w:sz w:val="20"/>
          <w:szCs w:val="20"/>
        </w:rPr>
      </w:pPr>
      <w:r w:rsidRPr="007B73AB">
        <w:rPr>
          <w:rFonts w:ascii="Arial" w:eastAsia="Arial" w:hAnsi="Arial" w:cs="Arial"/>
          <w:iCs/>
          <w:sz w:val="20"/>
          <w:szCs w:val="20"/>
        </w:rPr>
        <w:t>An assessment of the site’s archaeological interest will be required with appropriate mitigation incorporated into develo</w:t>
      </w:r>
      <w:r>
        <w:rPr>
          <w:rFonts w:ascii="Arial" w:eastAsia="Arial" w:hAnsi="Arial" w:cs="Arial"/>
          <w:iCs/>
          <w:sz w:val="20"/>
          <w:szCs w:val="20"/>
        </w:rPr>
        <w:t>pment proposals where necessary;</w:t>
      </w:r>
    </w:p>
    <w:p w:rsidR="009C3C9E" w:rsidRPr="007B73AB" w:rsidRDefault="009C3C9E" w:rsidP="009C3C9E">
      <w:pPr>
        <w:pStyle w:val="ListParagraph"/>
        <w:tabs>
          <w:tab w:val="left" w:pos="538"/>
        </w:tabs>
        <w:spacing w:line="228" w:lineRule="exact"/>
        <w:ind w:left="454" w:right="264"/>
        <w:rPr>
          <w:rFonts w:ascii="Arial" w:eastAsia="Arial" w:hAnsi="Arial" w:cs="Arial"/>
          <w:sz w:val="20"/>
          <w:szCs w:val="20"/>
        </w:rPr>
      </w:pPr>
    </w:p>
    <w:p w:rsidR="009C3C9E"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CB4BC2">
        <w:rPr>
          <w:rFonts w:ascii="Arial" w:eastAsia="Arial" w:hAnsi="Arial" w:cs="Arial"/>
          <w:sz w:val="20"/>
          <w:szCs w:val="20"/>
        </w:rPr>
        <w:t xml:space="preserve">This is a </w:t>
      </w:r>
      <w:proofErr w:type="gramStart"/>
      <w:r w:rsidRPr="00CB4BC2">
        <w:rPr>
          <w:rFonts w:ascii="Arial" w:eastAsia="Arial" w:hAnsi="Arial" w:cs="Arial"/>
          <w:sz w:val="20"/>
          <w:szCs w:val="20"/>
        </w:rPr>
        <w:t>greenfield</w:t>
      </w:r>
      <w:proofErr w:type="gramEnd"/>
      <w:r w:rsidRPr="00CB4BC2">
        <w:rPr>
          <w:rFonts w:ascii="Arial" w:eastAsia="Arial" w:hAnsi="Arial" w:cs="Arial"/>
          <w:sz w:val="20"/>
          <w:szCs w:val="20"/>
        </w:rPr>
        <w:t xml:space="preserve"> site in a prominent location on the edge of Skipton. Development proposals for this site will incorporate an area of approximately 1.1 ha of green infrastructure to recognise the two existing wooded </w:t>
      </w:r>
      <w:proofErr w:type="spellStart"/>
      <w:r w:rsidRPr="00CB4BC2">
        <w:rPr>
          <w:rFonts w:ascii="Arial" w:eastAsia="Arial" w:hAnsi="Arial" w:cs="Arial"/>
          <w:sz w:val="20"/>
          <w:szCs w:val="20"/>
        </w:rPr>
        <w:t>ghylls</w:t>
      </w:r>
      <w:proofErr w:type="spellEnd"/>
      <w:r w:rsidRPr="00CB4BC2">
        <w:rPr>
          <w:rFonts w:ascii="Arial" w:eastAsia="Arial" w:hAnsi="Arial" w:cs="Arial"/>
          <w:sz w:val="20"/>
          <w:szCs w:val="20"/>
        </w:rPr>
        <w:t xml:space="preserve"> on the site in the north and central part of the site and their role in providing links to the existing PROW network, and to provide a landscape buffer to the north eastern part of the site which is steeply sloping and characterised by open moorland. The area of green infrastructure will also deliver recreational walking opportunities aimed at relieving pressure on the North Pennine Moors Special Protection Area (SPA) and Spec</w:t>
      </w:r>
      <w:r>
        <w:rPr>
          <w:rFonts w:ascii="Arial" w:eastAsia="Arial" w:hAnsi="Arial" w:cs="Arial"/>
          <w:sz w:val="20"/>
          <w:szCs w:val="20"/>
        </w:rPr>
        <w:t>ial Area of Conservation (SAC);</w:t>
      </w:r>
    </w:p>
    <w:p w:rsidR="009C3C9E" w:rsidRPr="00CB4BC2" w:rsidRDefault="009C3C9E" w:rsidP="009C3C9E">
      <w:pPr>
        <w:pStyle w:val="ListParagraph"/>
        <w:rPr>
          <w:rFonts w:ascii="Arial" w:eastAsia="Arial" w:hAnsi="Arial" w:cs="Arial"/>
          <w:sz w:val="20"/>
          <w:szCs w:val="20"/>
        </w:rPr>
      </w:pPr>
    </w:p>
    <w:p w:rsidR="009C3C9E" w:rsidRDefault="009C3C9E" w:rsidP="009C3C9E">
      <w:pPr>
        <w:pStyle w:val="ListParagraph"/>
        <w:widowControl w:val="0"/>
        <w:numPr>
          <w:ilvl w:val="0"/>
          <w:numId w:val="13"/>
        </w:numPr>
        <w:tabs>
          <w:tab w:val="left" w:pos="538"/>
        </w:tabs>
        <w:spacing w:before="64"/>
        <w:ind w:left="454" w:right="264" w:hanging="283"/>
        <w:rPr>
          <w:rFonts w:ascii="Arial" w:eastAsia="Arial" w:hAnsi="Arial" w:cs="Arial"/>
          <w:sz w:val="20"/>
          <w:szCs w:val="20"/>
        </w:rPr>
      </w:pPr>
      <w:r w:rsidRPr="00CB4BC2">
        <w:rPr>
          <w:rFonts w:ascii="Arial" w:eastAsia="Arial" w:hAnsi="Arial" w:cs="Arial"/>
          <w:sz w:val="20"/>
          <w:szCs w:val="20"/>
        </w:rPr>
        <w:t>This site is in a prominent location, development proposals will need to be carefully and sensitively designed to minimise visual impact on the character and appearance of the area, and include measures to minimise impacts on air qua</w:t>
      </w:r>
      <w:r>
        <w:rPr>
          <w:rFonts w:ascii="Arial" w:eastAsia="Arial" w:hAnsi="Arial" w:cs="Arial"/>
          <w:sz w:val="20"/>
          <w:szCs w:val="20"/>
        </w:rPr>
        <w:t>lity, noise and light pollution;</w:t>
      </w:r>
    </w:p>
    <w:p w:rsidR="009C3C9E" w:rsidRPr="00CB4BC2" w:rsidRDefault="009C3C9E" w:rsidP="009C3C9E">
      <w:pPr>
        <w:pStyle w:val="ListParagraph"/>
        <w:rPr>
          <w:rFonts w:ascii="Arial" w:eastAsia="Arial" w:hAnsi="Arial" w:cs="Arial"/>
          <w:sz w:val="20"/>
          <w:szCs w:val="20"/>
        </w:rPr>
      </w:pPr>
    </w:p>
    <w:p w:rsidR="009C3C9E"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CB4BC2">
        <w:rPr>
          <w:rFonts w:ascii="Arial" w:eastAsia="Arial" w:hAnsi="Arial" w:cs="Arial"/>
          <w:sz w:val="20"/>
          <w:szCs w:val="20"/>
        </w:rPr>
        <w:t>A surface water flood risk hazard has been identified within the south east of the site.  Development proposals must therefore be supported by a Flood Risk Assessment and drainage strategy which has informed the design, layout and landscaping of the site. Proposals will incorporate Sustainable Drainage Systems (</w:t>
      </w:r>
      <w:proofErr w:type="spellStart"/>
      <w:r w:rsidRPr="00CB4BC2">
        <w:rPr>
          <w:rFonts w:ascii="Arial" w:eastAsia="Arial" w:hAnsi="Arial" w:cs="Arial"/>
          <w:sz w:val="20"/>
          <w:szCs w:val="20"/>
        </w:rPr>
        <w:t>SuDS</w:t>
      </w:r>
      <w:proofErr w:type="spellEnd"/>
      <w:r w:rsidRPr="00CB4BC2">
        <w:rPr>
          <w:rFonts w:ascii="Arial" w:eastAsia="Arial" w:hAnsi="Arial" w:cs="Arial"/>
          <w:sz w:val="20"/>
          <w:szCs w:val="20"/>
        </w:rPr>
        <w:t>) wh</w:t>
      </w:r>
      <w:r>
        <w:rPr>
          <w:rFonts w:ascii="Arial" w:eastAsia="Arial" w:hAnsi="Arial" w:cs="Arial"/>
          <w:sz w:val="20"/>
          <w:szCs w:val="20"/>
        </w:rPr>
        <w:t>ere possible;</w:t>
      </w:r>
    </w:p>
    <w:p w:rsidR="009C3C9E" w:rsidRPr="00CB4BC2" w:rsidRDefault="009C3C9E" w:rsidP="009C3C9E">
      <w:pPr>
        <w:pStyle w:val="ListParagraph"/>
        <w:rPr>
          <w:rFonts w:ascii="Arial" w:eastAsia="Arial" w:hAnsi="Arial" w:cs="Arial"/>
          <w:sz w:val="20"/>
          <w:szCs w:val="20"/>
        </w:rPr>
      </w:pPr>
    </w:p>
    <w:p w:rsidR="009C3C9E"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A Landscape Visual Impact Assessment (LVIA) is required to assess the likely effects of change on the landscape as a result of the development, specifically on views into and out </w:t>
      </w:r>
      <w:r>
        <w:rPr>
          <w:rFonts w:ascii="Arial" w:eastAsia="Arial" w:hAnsi="Arial" w:cs="Arial"/>
          <w:sz w:val="20"/>
          <w:szCs w:val="20"/>
        </w:rPr>
        <w:t>of</w:t>
      </w:r>
      <w:r w:rsidRPr="007B73AB">
        <w:rPr>
          <w:rFonts w:ascii="Arial" w:eastAsia="Arial" w:hAnsi="Arial" w:cs="Arial"/>
          <w:sz w:val="20"/>
          <w:szCs w:val="20"/>
        </w:rPr>
        <w:t xml:space="preserve"> the Yorkshire Dales National Park.</w:t>
      </w:r>
      <w:r>
        <w:rPr>
          <w:rFonts w:ascii="Arial" w:eastAsia="Arial" w:hAnsi="Arial" w:cs="Arial"/>
          <w:sz w:val="20"/>
          <w:szCs w:val="20"/>
        </w:rPr>
        <w:t xml:space="preserve"> </w:t>
      </w:r>
      <w:r w:rsidRPr="007B73AB">
        <w:rPr>
          <w:rFonts w:ascii="Arial" w:eastAsia="Arial" w:hAnsi="Arial" w:cs="Arial"/>
          <w:sz w:val="20"/>
          <w:szCs w:val="20"/>
        </w:rPr>
        <w:t>The</w:t>
      </w:r>
      <w:r>
        <w:rPr>
          <w:rFonts w:ascii="Arial" w:eastAsia="Arial" w:hAnsi="Arial" w:cs="Arial"/>
          <w:sz w:val="20"/>
          <w:szCs w:val="20"/>
        </w:rPr>
        <w:t xml:space="preserve"> </w:t>
      </w:r>
      <w:r w:rsidRPr="007B73AB">
        <w:rPr>
          <w:rFonts w:ascii="Arial" w:eastAsia="Arial" w:hAnsi="Arial" w:cs="Arial"/>
          <w:sz w:val="20"/>
          <w:szCs w:val="20"/>
        </w:rPr>
        <w:t>LVIA will help locate and design the</w:t>
      </w:r>
      <w:r>
        <w:rPr>
          <w:rFonts w:ascii="Arial" w:eastAsia="Arial" w:hAnsi="Arial" w:cs="Arial"/>
          <w:sz w:val="20"/>
          <w:szCs w:val="20"/>
        </w:rPr>
        <w:t xml:space="preserve"> development</w:t>
      </w:r>
      <w:r w:rsidRPr="007B73AB">
        <w:rPr>
          <w:rFonts w:ascii="Arial" w:eastAsia="Arial" w:hAnsi="Arial" w:cs="Arial"/>
          <w:sz w:val="20"/>
          <w:szCs w:val="20"/>
        </w:rPr>
        <w:t xml:space="preserve"> so that negative landscape effects are avoided, </w:t>
      </w:r>
      <w:r>
        <w:rPr>
          <w:rFonts w:ascii="Arial" w:eastAsia="Arial" w:hAnsi="Arial" w:cs="Arial"/>
          <w:sz w:val="20"/>
          <w:szCs w:val="20"/>
        </w:rPr>
        <w:t>appropriately reduced or offset;</w:t>
      </w:r>
    </w:p>
    <w:p w:rsidR="009C3C9E" w:rsidRPr="009C3C9E" w:rsidRDefault="009C3C9E" w:rsidP="009C3C9E">
      <w:pPr>
        <w:tabs>
          <w:tab w:val="left" w:pos="538"/>
        </w:tabs>
        <w:spacing w:before="64" w:line="228" w:lineRule="exact"/>
        <w:ind w:right="264"/>
        <w:rPr>
          <w:rFonts w:ascii="Arial" w:eastAsia="Arial" w:hAnsi="Arial" w:cs="Arial"/>
          <w:sz w:val="16"/>
          <w:szCs w:val="16"/>
        </w:rPr>
      </w:pPr>
      <w:bookmarkStart w:id="0" w:name="_GoBack"/>
      <w:bookmarkEnd w:id="0"/>
    </w:p>
    <w:p w:rsidR="009C3C9E"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A133DB">
        <w:rPr>
          <w:rFonts w:ascii="Arial" w:eastAsia="Arial" w:hAnsi="Arial" w:cs="Arial"/>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Arial" w:hAnsi="Arial" w:cs="Arial"/>
          <w:sz w:val="20"/>
          <w:szCs w:val="20"/>
        </w:rPr>
        <w:t>ncement effects are implemented;</w:t>
      </w:r>
    </w:p>
    <w:p w:rsidR="009C3C9E" w:rsidRPr="00A133DB" w:rsidRDefault="009C3C9E" w:rsidP="009C3C9E">
      <w:pPr>
        <w:pStyle w:val="ListParagraph"/>
        <w:rPr>
          <w:rFonts w:ascii="Arial" w:eastAsia="Arial" w:hAnsi="Arial" w:cs="Arial"/>
          <w:sz w:val="20"/>
          <w:szCs w:val="20"/>
        </w:rPr>
      </w:pPr>
    </w:p>
    <w:p w:rsidR="009C3C9E"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Access to the site is to be gained from </w:t>
      </w:r>
      <w:proofErr w:type="spellStart"/>
      <w:r w:rsidRPr="007B73AB">
        <w:rPr>
          <w:rFonts w:ascii="Arial" w:eastAsia="Arial" w:hAnsi="Arial" w:cs="Arial"/>
          <w:sz w:val="20"/>
          <w:szCs w:val="20"/>
        </w:rPr>
        <w:t>Cawder</w:t>
      </w:r>
      <w:proofErr w:type="spellEnd"/>
      <w:r w:rsidRPr="007B73AB">
        <w:rPr>
          <w:rFonts w:ascii="Arial" w:eastAsia="Arial" w:hAnsi="Arial" w:cs="Arial"/>
          <w:sz w:val="20"/>
          <w:szCs w:val="20"/>
        </w:rPr>
        <w:t xml:space="preserve"> Road, such as the garage site located in the south west of the site. A possible additional access point </w:t>
      </w:r>
      <w:r w:rsidRPr="007B73AB">
        <w:rPr>
          <w:rFonts w:ascii="Arial" w:eastAsia="Arial" w:hAnsi="Arial" w:cs="Arial"/>
          <w:sz w:val="20"/>
          <w:szCs w:val="20"/>
        </w:rPr>
        <w:lastRenderedPageBreak/>
        <w:t xml:space="preserve">is via the existing reservoir track from Whinny Gill Road, which provides access to a residential scheme with consent to the north of the site. Access to </w:t>
      </w:r>
      <w:proofErr w:type="spellStart"/>
      <w:r w:rsidRPr="007B73AB">
        <w:rPr>
          <w:rFonts w:ascii="Arial" w:eastAsia="Arial" w:hAnsi="Arial" w:cs="Arial"/>
          <w:sz w:val="20"/>
          <w:szCs w:val="20"/>
        </w:rPr>
        <w:t>Cawder</w:t>
      </w:r>
      <w:proofErr w:type="spellEnd"/>
      <w:r w:rsidRPr="007B73AB">
        <w:rPr>
          <w:rFonts w:ascii="Arial" w:eastAsia="Arial" w:hAnsi="Arial" w:cs="Arial"/>
          <w:sz w:val="20"/>
          <w:szCs w:val="20"/>
        </w:rPr>
        <w:t xml:space="preserve"> Road from Keighley Road is currently taken via the existing Horse Close Bridge, which is restricted by its width. Development proposals must therefore demonstrate how vehicular access to the site can be gained from a new crossing ov</w:t>
      </w:r>
      <w:r>
        <w:rPr>
          <w:rFonts w:ascii="Arial" w:eastAsia="Arial" w:hAnsi="Arial" w:cs="Arial"/>
          <w:sz w:val="20"/>
          <w:szCs w:val="20"/>
        </w:rPr>
        <w:t>er the Leeds &amp; Liverpool Canal;</w:t>
      </w:r>
    </w:p>
    <w:p w:rsidR="009C3C9E" w:rsidRPr="001205C4" w:rsidRDefault="009C3C9E" w:rsidP="009C3C9E">
      <w:pPr>
        <w:pStyle w:val="ListParagraph"/>
        <w:rPr>
          <w:rFonts w:ascii="Arial" w:eastAsia="Arial" w:hAnsi="Arial" w:cs="Arial"/>
          <w:sz w:val="20"/>
          <w:szCs w:val="20"/>
        </w:rPr>
      </w:pPr>
    </w:p>
    <w:p w:rsidR="009C3C9E" w:rsidRPr="0049701E" w:rsidRDefault="009C3C9E" w:rsidP="009C3C9E">
      <w:pPr>
        <w:widowControl w:val="0"/>
        <w:numPr>
          <w:ilvl w:val="0"/>
          <w:numId w:val="12"/>
        </w:numPr>
        <w:tabs>
          <w:tab w:val="left" w:pos="425"/>
        </w:tabs>
        <w:spacing w:before="64" w:line="228" w:lineRule="exact"/>
        <w:ind w:left="425" w:right="264" w:hanging="283"/>
        <w:rPr>
          <w:rFonts w:ascii="Arial" w:eastAsia="Arial" w:hAnsi="Arial" w:cs="Arial"/>
          <w:sz w:val="20"/>
          <w:szCs w:val="20"/>
        </w:rPr>
      </w:pPr>
      <w:r w:rsidRPr="0049701E">
        <w:rPr>
          <w:rFonts w:ascii="Arial" w:eastAsia="Arial" w:hAnsi="Arial" w:cs="Arial"/>
          <w:sz w:val="20"/>
          <w:szCs w:val="20"/>
        </w:rPr>
        <w:t>Development proposals will be required to contribute towards the provision of highway improvements, in accordance with Policy INF7, at the following locations:</w:t>
      </w:r>
    </w:p>
    <w:p w:rsidR="009C3C9E" w:rsidRPr="0049701E" w:rsidRDefault="009C3C9E" w:rsidP="009C3C9E">
      <w:pPr>
        <w:widowControl w:val="0"/>
        <w:tabs>
          <w:tab w:val="left" w:pos="596"/>
        </w:tabs>
        <w:spacing w:before="64" w:line="228" w:lineRule="exact"/>
        <w:ind w:left="879" w:right="264"/>
        <w:rPr>
          <w:rFonts w:ascii="Arial" w:eastAsia="Arial" w:hAnsi="Arial" w:cs="Arial"/>
          <w:sz w:val="20"/>
          <w:szCs w:val="20"/>
        </w:rPr>
      </w:pPr>
      <w:r>
        <w:rPr>
          <w:rFonts w:ascii="Arial" w:eastAsia="Arial" w:hAnsi="Arial" w:cs="Arial"/>
          <w:sz w:val="20"/>
          <w:szCs w:val="20"/>
        </w:rPr>
        <w:t xml:space="preserve">a) </w:t>
      </w:r>
      <w:r w:rsidRPr="0049701E">
        <w:rPr>
          <w:rFonts w:ascii="Arial" w:eastAsia="Arial" w:hAnsi="Arial" w:cs="Arial"/>
          <w:sz w:val="20"/>
          <w:szCs w:val="20"/>
        </w:rPr>
        <w:t>The A65/Gargrave Road/A629/A59 junction; and</w:t>
      </w:r>
    </w:p>
    <w:p w:rsidR="009C3C9E" w:rsidRPr="001205C4" w:rsidRDefault="009C3C9E" w:rsidP="009C3C9E">
      <w:pPr>
        <w:widowControl w:val="0"/>
        <w:tabs>
          <w:tab w:val="left" w:pos="596"/>
        </w:tabs>
        <w:spacing w:before="64" w:line="228" w:lineRule="exact"/>
        <w:ind w:left="879" w:right="264"/>
        <w:rPr>
          <w:rFonts w:ascii="Arial" w:eastAsia="Arial" w:hAnsi="Arial" w:cs="Arial"/>
          <w:sz w:val="20"/>
          <w:szCs w:val="20"/>
        </w:rPr>
      </w:pPr>
      <w:r>
        <w:rPr>
          <w:rFonts w:ascii="Arial" w:eastAsia="Arial" w:hAnsi="Arial" w:cs="Arial"/>
          <w:sz w:val="20"/>
          <w:szCs w:val="20"/>
        </w:rPr>
        <w:t xml:space="preserve">b) </w:t>
      </w:r>
      <w:proofErr w:type="gramStart"/>
      <w:r>
        <w:rPr>
          <w:rFonts w:ascii="Arial" w:eastAsia="Arial" w:hAnsi="Arial" w:cs="Arial"/>
          <w:sz w:val="20"/>
          <w:szCs w:val="20"/>
        </w:rPr>
        <w:t>t</w:t>
      </w:r>
      <w:r>
        <w:rPr>
          <w:rFonts w:ascii="Arial" w:eastAsia="Arial" w:hAnsi="Arial" w:cs="Arial"/>
          <w:sz w:val="20"/>
          <w:szCs w:val="20"/>
        </w:rPr>
        <w:t>he</w:t>
      </w:r>
      <w:proofErr w:type="gramEnd"/>
      <w:r>
        <w:rPr>
          <w:rFonts w:ascii="Arial" w:eastAsia="Arial" w:hAnsi="Arial" w:cs="Arial"/>
          <w:sz w:val="20"/>
          <w:szCs w:val="20"/>
        </w:rPr>
        <w:t xml:space="preserve"> A6131/A65 junction;</w:t>
      </w:r>
    </w:p>
    <w:p w:rsidR="009C3C9E" w:rsidRPr="009628AD" w:rsidRDefault="009C3C9E" w:rsidP="009C3C9E">
      <w:pPr>
        <w:tabs>
          <w:tab w:val="left" w:pos="538"/>
        </w:tabs>
        <w:spacing w:before="64" w:line="228" w:lineRule="exact"/>
        <w:ind w:right="264"/>
        <w:rPr>
          <w:rFonts w:ascii="Arial" w:eastAsia="Arial" w:hAnsi="Arial" w:cs="Arial"/>
          <w:sz w:val="20"/>
          <w:szCs w:val="20"/>
        </w:rPr>
      </w:pPr>
      <w:r w:rsidRPr="009628AD">
        <w:rPr>
          <w:rFonts w:ascii="Arial" w:eastAsia="Arial" w:hAnsi="Arial" w:cs="Arial"/>
          <w:sz w:val="20"/>
          <w:szCs w:val="20"/>
        </w:rPr>
        <w:t xml:space="preserve"> </w:t>
      </w:r>
    </w:p>
    <w:p w:rsidR="009C3C9E" w:rsidRPr="007B73AB" w:rsidRDefault="009C3C9E" w:rsidP="009C3C9E">
      <w:pPr>
        <w:pStyle w:val="ListParagraph"/>
        <w:widowControl w:val="0"/>
        <w:numPr>
          <w:ilvl w:val="0"/>
          <w:numId w:val="13"/>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4B42EE" w:rsidRPr="004B42EE" w:rsidRDefault="004B42EE" w:rsidP="009C3C9E">
      <w:pPr>
        <w:ind w:left="720" w:hanging="720"/>
      </w:pPr>
    </w:p>
    <w:sectPr w:rsidR="004B42EE" w:rsidRPr="004B42EE"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8EE" w:rsidRDefault="003928EE" w:rsidP="00FC3903">
      <w:pPr>
        <w:spacing w:after="0" w:line="240" w:lineRule="auto"/>
      </w:pPr>
      <w:r>
        <w:separator/>
      </w:r>
    </w:p>
  </w:endnote>
  <w:endnote w:type="continuationSeparator" w:id="0">
    <w:p w:rsidR="003928EE" w:rsidRDefault="003928E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3928EE" w:rsidRDefault="003928EE">
        <w:pPr>
          <w:pStyle w:val="Footer"/>
          <w:jc w:val="center"/>
        </w:pPr>
        <w:r>
          <w:fldChar w:fldCharType="begin"/>
        </w:r>
        <w:r>
          <w:instrText xml:space="preserve"> PAGE   \* MERGEFORMAT </w:instrText>
        </w:r>
        <w:r>
          <w:fldChar w:fldCharType="separate"/>
        </w:r>
        <w:r w:rsidR="009C3C9E">
          <w:rPr>
            <w:noProof/>
          </w:rPr>
          <w:t>3</w:t>
        </w:r>
        <w:r>
          <w:rPr>
            <w:noProof/>
          </w:rPr>
          <w:fldChar w:fldCharType="end"/>
        </w:r>
      </w:p>
    </w:sdtContent>
  </w:sdt>
  <w:p w:rsidR="003928EE" w:rsidRDefault="003928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8EE" w:rsidRDefault="003928EE" w:rsidP="00FC3903">
      <w:pPr>
        <w:spacing w:after="0" w:line="240" w:lineRule="auto"/>
      </w:pPr>
      <w:r>
        <w:separator/>
      </w:r>
    </w:p>
  </w:footnote>
  <w:footnote w:type="continuationSeparator" w:id="0">
    <w:p w:rsidR="003928EE" w:rsidRDefault="003928E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AD05D7"/>
    <w:multiLevelType w:val="hybridMultilevel"/>
    <w:tmpl w:val="97704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C70FFA"/>
    <w:multiLevelType w:val="hybridMultilevel"/>
    <w:tmpl w:val="42D44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D3B17FF"/>
    <w:multiLevelType w:val="hybridMultilevel"/>
    <w:tmpl w:val="ACA23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2B502C0"/>
    <w:multiLevelType w:val="hybridMultilevel"/>
    <w:tmpl w:val="660A2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3C774F7"/>
    <w:multiLevelType w:val="hybridMultilevel"/>
    <w:tmpl w:val="C004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1"/>
  </w:num>
  <w:num w:numId="5">
    <w:abstractNumId w:val="9"/>
  </w:num>
  <w:num w:numId="6">
    <w:abstractNumId w:val="2"/>
  </w:num>
  <w:num w:numId="7">
    <w:abstractNumId w:val="6"/>
  </w:num>
  <w:num w:numId="8">
    <w:abstractNumId w:val="1"/>
  </w:num>
  <w:num w:numId="9">
    <w:abstractNumId w:val="7"/>
  </w:num>
  <w:num w:numId="10">
    <w:abstractNumId w:val="12"/>
  </w:num>
  <w:num w:numId="11">
    <w:abstractNumId w:val="8"/>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70691"/>
    <w:rsid w:val="000B5F42"/>
    <w:rsid w:val="000D020A"/>
    <w:rsid w:val="00113200"/>
    <w:rsid w:val="0014145B"/>
    <w:rsid w:val="00205A24"/>
    <w:rsid w:val="00252E9F"/>
    <w:rsid w:val="00262272"/>
    <w:rsid w:val="002B0574"/>
    <w:rsid w:val="002C0460"/>
    <w:rsid w:val="002D23C5"/>
    <w:rsid w:val="00306A7A"/>
    <w:rsid w:val="00374F8C"/>
    <w:rsid w:val="003928EE"/>
    <w:rsid w:val="003A180F"/>
    <w:rsid w:val="00404FA1"/>
    <w:rsid w:val="00486081"/>
    <w:rsid w:val="004B42EE"/>
    <w:rsid w:val="004B7342"/>
    <w:rsid w:val="004F461F"/>
    <w:rsid w:val="005218B4"/>
    <w:rsid w:val="0053462A"/>
    <w:rsid w:val="00547354"/>
    <w:rsid w:val="00550B83"/>
    <w:rsid w:val="006363B5"/>
    <w:rsid w:val="00664307"/>
    <w:rsid w:val="00687642"/>
    <w:rsid w:val="006A0E5C"/>
    <w:rsid w:val="0070301E"/>
    <w:rsid w:val="00711D47"/>
    <w:rsid w:val="00776515"/>
    <w:rsid w:val="00790C43"/>
    <w:rsid w:val="007A5E49"/>
    <w:rsid w:val="007C4CD1"/>
    <w:rsid w:val="007E58E0"/>
    <w:rsid w:val="00834682"/>
    <w:rsid w:val="00834C80"/>
    <w:rsid w:val="0087629B"/>
    <w:rsid w:val="008D7648"/>
    <w:rsid w:val="00905653"/>
    <w:rsid w:val="00940EFA"/>
    <w:rsid w:val="009C3C9E"/>
    <w:rsid w:val="00A6168D"/>
    <w:rsid w:val="00B11693"/>
    <w:rsid w:val="00B21C52"/>
    <w:rsid w:val="00B355A4"/>
    <w:rsid w:val="00BE4090"/>
    <w:rsid w:val="00BF699B"/>
    <w:rsid w:val="00C1109B"/>
    <w:rsid w:val="00CD432F"/>
    <w:rsid w:val="00E22A10"/>
    <w:rsid w:val="00E67360"/>
    <w:rsid w:val="00EE182D"/>
    <w:rsid w:val="00F2287F"/>
    <w:rsid w:val="00F62E2A"/>
    <w:rsid w:val="00F85A12"/>
    <w:rsid w:val="00FC3903"/>
    <w:rsid w:val="00FC7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D0D64-ACA7-4ECA-946B-ED3936435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13</cp:revision>
  <cp:lastPrinted>2017-09-11T10:03:00Z</cp:lastPrinted>
  <dcterms:created xsi:type="dcterms:W3CDTF">2017-09-12T09:09:00Z</dcterms:created>
  <dcterms:modified xsi:type="dcterms:W3CDTF">2019-11-07T13:26:00Z</dcterms:modified>
</cp:coreProperties>
</file>